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0AA0" w:rsidP="003B0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1-14-2106/2026</w:t>
      </w:r>
    </w:p>
    <w:p w:rsidR="003B0AA0" w:rsidP="003B0A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86MS0046-01-2026-001683-08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</w:t>
      </w: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апреля 2026 года                                                                   г. Нижневартовск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B0AA0" w:rsidP="003B0AA0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Нижневартовского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города окружного значения Нижневартовска Ханты-Мансийского автономного округа - Югры Аксенова Е.В.,</w:t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Вечер А.А.,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помощника прокурора г. Нижневартовска </w:t>
      </w:r>
      <w:r w:rsidR="009C65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Завьялова 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подсудимого Гайд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укова И.И.,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>
        <w:rPr>
          <w:rFonts w:ascii="Times New Roman" w:eastAsia="Arial Unicode MS" w:hAnsi="Times New Roman" w:cs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адвоката Кудрявцевой О.А., предъявившей удостоверение №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ордер №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в отношении Гайдукова Ивана Ивановича,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Российской Федерации, образование среднее, </w:t>
      </w:r>
      <w:r w:rsidR="009C654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холостого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работающего, невоеннообязанного, зарегистрированного по адресу: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проживающего по адресу: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судимого,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преступления, предусмотренного ч. 1 ст. 158 Уголовного кодекса Российской Федерации, </w:t>
      </w: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4C2" w:rsidRPr="00A374C2" w:rsidP="00A374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Гайдуков Иван Иванович, 06.04.2025 около 16 минут, находясь в помещении 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торгового зала магазина «ДНС»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в ТЦ «Подсолнух», по адресу: ХМАО-Югра г. Нижневартовск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Интернациональная д.73, где реализация товара осуществляется по системе самообслуживания, имея умысел на тайное хищение чужого имущества, и реализуя ег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о, путем свободного доступа, убедившись, что за его действиями никто не наблюдает и не может им воспрепятствовать, осознавая незаконность и противоправность своих действий, тайно, из корыстных побуждений, похитил «TWS гарнитура Honor Choice Earbuds S7 серы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е», в количестве одной штуки, стоимостью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499 рублей 00 копеек, принадлежащие ООО «ДНС Ритейл», и, не имея намерения на оплату вышеуказанного товара, с места преступления с похищенным скрылся, не оплатив похищенный товар, после чего распорядился им по сво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усмотрению.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преступными действиями Гайдуков И.И., причинил ООО «ДНС Ритейл», материальный ущерб на общую сумму 3499 рублей 00 копеек.</w:t>
      </w:r>
    </w:p>
    <w:p w:rsidR="003B0AA0" w:rsidP="003B0AA0">
      <w:pPr>
        <w:spacing w:after="0" w:line="322" w:lineRule="exact"/>
        <w:ind w:left="20" w:right="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ознакомления с материалами уголовного дела, в присутствии защитника, </w:t>
      </w:r>
      <w:r w:rsid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заявил ходатайство о постановлении приговора без проведения судебного разбирательства. 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разрешении заявленного </w:t>
      </w:r>
      <w:r w:rsidR="00A37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Гайдуковым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ходатайства, после изложения государственным обвинителем предъявленного ему обвинения, подсудимый пояснил, что с предъявленн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обвинением согласен, вину признает полностью, поддерживает ходатайство, которое заявлено им добровольно, после консультации с защитником, характер и последствия постановления приговора без проведения судебного разбирательства осознает.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 ФИО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материалах уголовного дела имеется заявление о рассмотрении дела в его отсутствие с выраженным согласием на рассмотрение дела в особом порядке судебного разбирательства.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поддержал ходатайство подсудимой о рассмотре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уголовного дела в особом порядке.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не возражал против заявленного подсудимым ходатайства о постановлении приговора без проведения судебного разбирательства.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 согласилась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подсудимый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обоснованно и подтверждается собранными доказательствами.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обвиняется в совершении преступления небольшой тяжести. Ходатайство о постановлении приговора без проведения судебного разбирательства подсудимым заявлено доб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ровольно после консультации с защитником, при этом ему разъяснены, и он полностью осознаёт последствия постановления в отношении него обвинительного приговора без проведения судебного разбирательства. Таким образом, соблюдены все необходимые условия, позво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ляющие рассмотреть уголовное дело в особом порядке судопроизводства.   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мнение государственного обвинителя, подсудимого и защитника, исследовав материалы дела, мировой судья считает возможным удовлетворить данное ходатайство и постановить приговор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проведения судебного разбирательства.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постановления приговора без проведения судебног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разбирательства соблюдены, и действия подсудимого квалифицирует по ч. 1 ст. 158 Уголовного кодекса Российской Федерации – кража, то есть тайное хищение чужого имущества.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и степень общественной 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сности совершенного преступления, относящегося к категории преступлений небольшой тяжести, а также данные о личности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Гайдукова И.И.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справке – характеристики начальника ОУУП и ПДН ОП № 3 УМВД России по г. Нижневартовску,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(л.д.1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справке БУ ХМАО – Югры «Нижневартовская психоневрологическая больница»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диспансерным наблюдением врача-психиатра- нарколога, врача – психиатра не находится. (л.д.1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п. «и» ч. 1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ст. 61,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61 Уголовного кодекса Российской Федерации к обстоятельствам, смягчающим наказание подсудимой, мировой судья относит раскаяние в содеянном, поскольку при рассмотрении данного уголовного дела подсудимый полностью признал свою вину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инкриминируемом ему преступлении, ранее заявил ходатайство о рассмотрении дела в особом порядке судебного разбирательства, что по мнению мирового судьи, свидетельствует о его раскаянии в содеянном,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активное способствование раскрытию и расследованию преступ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ления, так как в ходе предварительного следствия по делу, осознав свою вину, </w:t>
      </w:r>
      <w:r w:rsidR="00EA3E7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Гайдуков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полностью признал себя виновным в совершении инкриминируемого ему  преступления, способствовал его  раскрытию и расследованию, давая признательные показания о своей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причастности к краже.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отягчающих наказание подсудимому, в соответствии со ст. 63 Уголовного кодекса Российской Федерации, мировым судьей не установлено.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не установлено наличие исключительных обстоятельств, связанных с целями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мотивами преступлений,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подсудимой ст. 64 Уголовного кодекса Российской Федерации.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для прекращени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уголовного дела или освобождения от наказания не имеется.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 характер и степень общественной опасности совершенного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Гайдуковым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преступления против собственности, обстоятельства содеянного, учитывая совокупность установленных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характеризующих личность подсудимого, учитывая его отношение к содеянному, наличие смягчающих и отсутствие отягчающих наказание обстоятельств, положения ч. 2 ст. 43 Уголовного кодекса Российской Федерации о том, что наказание применяется в целях восстано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вления социальной справедливости, а также в целях исправления виновного лица и предупреждения совершения новых преступлений, с учетом требований ст. 316 Уголовно-процессуального кодекса Российской Федерации, мировой судья приходит к выводу о назначении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Гайдукову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 в виде штрафа, в пределах санкции ч. 1 ст. 158 Уголовного кодекса Российской Федерации, что, по мнению мирового судьи, приведет к достижению целей наказания.</w:t>
      </w:r>
    </w:p>
    <w:p w:rsidR="003B0AA0" w:rsidP="003B0AA0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Гайдукову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такого вида наказания будет являться справе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дливым, соответствовать содеянному, позволит обеспечить исправление осужденно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предупреждение совершения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преступлений, в результате чего наказание достигнет своей цели в исправлении осужденного.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предусмотренные ст. 131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Уголовно-процессуального кодекса Российской Федерации, в соответствии с ч. 10 ст. 316 Уголовно-процессуального кодекса Российской Федерации взысканию с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Гайдукова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вещественных доказательствах разрешить в порядке ст. 81 Уголовно-пр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оцессуального кодекса Российской Федерации. 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ст. 316 Уголовно-процессуального кодекса Российской Федерации, </w:t>
      </w: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ПРИГОВОРИЛ:</w:t>
      </w:r>
    </w:p>
    <w:p w:rsidR="003B0AA0" w:rsidP="003B0A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Гайдукова Ивана Ивановича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ч. 1 ст. 158 Уголовного кодекса Российской Федерации, и назначить ему наказание в виде </w:t>
      </w:r>
      <w:r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штрафа в размере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 (шести тысяч) рублей.</w:t>
      </w:r>
    </w:p>
    <w:p w:rsidR="003B0AA0" w:rsidRPr="00EA3E74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уплате: </w:t>
      </w:r>
      <w:r w:rsidRPr="009B07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Взыскатель: Российская Федерация, </w:t>
      </w:r>
      <w:r w:rsidRPr="009B0729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Получатель: УФК по Ханты-Мансийскому округу-Югре (УМВД России по Ханты-Мансийскому автономному округе-Югре), ИНН 8601010390, КПП 860101001,</w:t>
      </w: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71875000, Банк: РКЦ Ханты-Мансийск//УФК по Ханты-Мансийскому автономному округу-Югре г. Ханты-Мансийск, БИК 00</w:t>
      </w: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7162163, </w:t>
      </w:r>
      <w:r w:rsidRPr="009B072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Единый казначейский счёт № 40102810245370000007, Казначейский счёт № 03100643000000018700, </w:t>
      </w: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лицевой счет № 04871342940, КБК </w:t>
      </w:r>
      <w:r w:rsidRPr="009B0729">
        <w:rPr>
          <w:rFonts w:ascii="Times New Roman" w:eastAsia="Times New Roman" w:hAnsi="Times New Roman" w:cs="Times New Roman"/>
          <w:color w:val="0000CC"/>
          <w:sz w:val="28"/>
          <w:szCs w:val="28"/>
          <w:lang w:eastAsia="ru-RU"/>
        </w:rPr>
        <w:t>18811603121019000140</w:t>
      </w: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«Денежные взыскания (штрафы) и иные суммы, взыскиваемые с лиц, виновных в совершении преступлений, и в</w:t>
      </w: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возмещение ущерба имуществу, зачисляемые в федеральный бюджет», Единый уникальный номер уголовного дела: 1250171102304</w:t>
      </w:r>
      <w:r w:rsidRPr="009B0729" w:rsid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>0347</w:t>
      </w: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0729">
        <w:rPr>
          <w:rFonts w:ascii="Times New Roman" w:eastAsia="Arial Unicode MS" w:hAnsi="Times New Roman" w:cs="Times New Roman"/>
          <w:sz w:val="28"/>
          <w:szCs w:val="28"/>
          <w:lang w:eastAsia="ru-RU"/>
        </w:rPr>
        <w:t>Уникальный идентификационный номер:</w:t>
      </w:r>
      <w:r w:rsidRP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188586</w:t>
      </w:r>
      <w:r w:rsidRPr="009B0729" w:rsidR="009B0729">
        <w:rPr>
          <w:rFonts w:ascii="Times New Roman" w:eastAsia="Times New Roman" w:hAnsi="Times New Roman" w:cs="Times New Roman"/>
          <w:sz w:val="28"/>
          <w:szCs w:val="28"/>
          <w:lang w:eastAsia="ru-RU"/>
        </w:rPr>
        <w:t>26030480403471</w:t>
      </w:r>
      <w:r w:rsidRPr="00EA3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Гайдукову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подписки о невыезде и надлежащем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ведении после вступления приговора в законную силу отменить.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Освободить </w:t>
      </w:r>
      <w:r w:rsidR="00A26B5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Гайдукова И.И.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уплаты процессуальных издержек в полном объеме.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доказательства: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 w:rsidRPr="00A374C2" w:rsidR="00A26B51">
        <w:rPr>
          <w:rFonts w:ascii="Times New Roman" w:eastAsia="Times New Roman" w:hAnsi="Times New Roman" w:cs="Times New Roman"/>
          <w:sz w:val="28"/>
          <w:szCs w:val="28"/>
          <w:lang w:eastAsia="ru-RU"/>
        </w:rPr>
        <w:t>«TWS гарнитура Honor Choice Earbuds S7 серые</w:t>
      </w:r>
      <w:r w:rsidR="00A26B51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количестве одной штуки,</w:t>
      </w:r>
      <w:r w:rsidR="00A26B5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хранящ</w:t>
      </w:r>
      <w:r w:rsidR="00A26B5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аяся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в камере вещественных доказательств в ОП-3</w:t>
      </w:r>
      <w:r w:rsidR="00A26B5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УМВД России по г. Нижневартовску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, вернуть </w:t>
      </w:r>
      <w:r w:rsidR="00A26B51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по принадлежности.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 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в Нижневартовский городской суд Ханты-Мансийского автономного округа – Югры в течение пятнадцати суток со дня провозглаш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с соблюдением требований ст. 317 Уголовно-процессуального кодекса Российской Федерации, через мирового судью судебного участка № 6.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подачи апелляционной жалобы осужденный вправе ходатайствовать о своем участии в рассмотрении уголовного 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 апелляционной инстанции и поручать осуществление своей защиты избранному им защитнику либо ходатайствовать перед судом о назначении защитника.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A0" w:rsidP="003B0AA0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3B0AA0" w:rsidP="003B0AA0">
      <w:pPr>
        <w:spacing w:after="0" w:line="240" w:lineRule="auto"/>
        <w:ind w:firstLine="567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3B0AA0" w:rsidP="003B0AA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Мировой судья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ab/>
        <w:t xml:space="preserve">Е.В. Аксенова </w:t>
      </w:r>
    </w:p>
    <w:p w:rsidR="003B0AA0" w:rsidP="003B0AA0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3B0AA0" w:rsidP="003B0AA0">
      <w:pPr>
        <w:spacing w:after="200" w:line="276" w:lineRule="auto"/>
        <w:ind w:firstLine="567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*</w:t>
      </w:r>
    </w:p>
    <w:p w:rsidR="003B0AA0" w:rsidP="003B0AA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A0" w:rsidP="003B0AA0">
      <w:pPr>
        <w:rPr>
          <w:sz w:val="28"/>
          <w:szCs w:val="28"/>
        </w:rPr>
      </w:pPr>
    </w:p>
    <w:p w:rsidR="003B0AA0" w:rsidP="003B0AA0"/>
    <w:p w:rsidR="003B0AA0" w:rsidP="003B0AA0"/>
    <w:p w:rsidR="00596E3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86"/>
    <w:rsid w:val="003B0AA0"/>
    <w:rsid w:val="00581A86"/>
    <w:rsid w:val="00596E38"/>
    <w:rsid w:val="009B0729"/>
    <w:rsid w:val="009C654B"/>
    <w:rsid w:val="00A26B51"/>
    <w:rsid w:val="00A374C2"/>
    <w:rsid w:val="00E83FC9"/>
    <w:rsid w:val="00EA3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FB47B0-4E47-45E5-A0A8-158F3E40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A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C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